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CE7" w:rsidRDefault="002A1637" w:rsidP="002A1637">
      <w:pPr>
        <w:jc w:val="center"/>
        <w:rPr>
          <w:b/>
          <w:color w:val="808080" w:themeColor="background1" w:themeShade="80"/>
          <w:sz w:val="40"/>
          <w:u w:val="single"/>
        </w:rPr>
      </w:pPr>
      <w:r w:rsidRPr="008C27B9">
        <w:rPr>
          <w:b/>
          <w:color w:val="808080" w:themeColor="background1" w:themeShade="80"/>
          <w:sz w:val="40"/>
          <w:u w:val="single"/>
        </w:rPr>
        <w:t>Estimation des flux financiers associés à la navigation</w:t>
      </w:r>
    </w:p>
    <w:p w:rsidR="00E96962" w:rsidRPr="00E96962" w:rsidRDefault="00EE5236" w:rsidP="00E96962">
      <w:pPr>
        <w:rPr>
          <w:b/>
          <w:color w:val="808080" w:themeColor="background1" w:themeShade="80"/>
          <w:sz w:val="20"/>
          <w:u w:val="single"/>
        </w:rPr>
      </w:pPr>
      <w:r w:rsidRPr="00EE5236">
        <w:rPr>
          <w:b/>
          <w:noProof/>
          <w:color w:val="808080" w:themeColor="background1" w:themeShade="80"/>
          <w:sz w:val="40"/>
          <w:u w:val="single"/>
          <w:lang w:eastAsia="fr-FR"/>
        </w:rPr>
        <w:pict>
          <v:roundrect id="_x0000_s1031" style="position:absolute;margin-left:-24.75pt;margin-top:9.75pt;width:497.1pt;height:444.75pt;z-index:251661312" arcsize="10923f" filled="f" strokecolor="#7f7f7f [1612]"/>
        </w:pict>
      </w:r>
    </w:p>
    <w:p w:rsidR="00650501" w:rsidRPr="00650501" w:rsidRDefault="00650501" w:rsidP="00650501">
      <w:pPr>
        <w:rPr>
          <w:sz w:val="24"/>
        </w:rPr>
      </w:pPr>
      <w:r w:rsidRPr="008C27B9">
        <w:rPr>
          <w:b/>
          <w:sz w:val="24"/>
          <w:u w:val="single"/>
        </w:rPr>
        <w:t>Périmètre</w:t>
      </w:r>
      <w:r w:rsidR="00CA23B7">
        <w:rPr>
          <w:b/>
          <w:sz w:val="24"/>
          <w:u w:val="single"/>
        </w:rPr>
        <w:t xml:space="preserve"> </w:t>
      </w:r>
      <w:r w:rsidR="00CA23B7">
        <w:rPr>
          <w:b/>
          <w:sz w:val="24"/>
        </w:rPr>
        <w:t xml:space="preserve"> -  </w:t>
      </w:r>
      <w:r w:rsidRPr="00650501">
        <w:rPr>
          <w:sz w:val="24"/>
        </w:rPr>
        <w:t xml:space="preserve">Les services liés à la navigation couvrent </w:t>
      </w:r>
      <w:r>
        <w:rPr>
          <w:sz w:val="24"/>
        </w:rPr>
        <w:t xml:space="preserve"> </w:t>
      </w:r>
      <w:r w:rsidR="00FC2EB5">
        <w:rPr>
          <w:sz w:val="24"/>
        </w:rPr>
        <w:t xml:space="preserve">aussi bien </w:t>
      </w:r>
      <w:r w:rsidRPr="00650501">
        <w:rPr>
          <w:sz w:val="24"/>
        </w:rPr>
        <w:t>les travaux d’infrast</w:t>
      </w:r>
      <w:r>
        <w:rPr>
          <w:sz w:val="24"/>
        </w:rPr>
        <w:t>r</w:t>
      </w:r>
      <w:r w:rsidRPr="00650501">
        <w:rPr>
          <w:sz w:val="24"/>
        </w:rPr>
        <w:t>u</w:t>
      </w:r>
      <w:r>
        <w:rPr>
          <w:sz w:val="24"/>
        </w:rPr>
        <w:t>ct</w:t>
      </w:r>
      <w:r w:rsidRPr="00650501">
        <w:rPr>
          <w:sz w:val="24"/>
        </w:rPr>
        <w:t>ures (modernisation</w:t>
      </w:r>
      <w:r>
        <w:rPr>
          <w:sz w:val="24"/>
        </w:rPr>
        <w:t>, fiabilisation</w:t>
      </w:r>
      <w:r w:rsidRPr="00650501">
        <w:rPr>
          <w:sz w:val="24"/>
        </w:rPr>
        <w:t xml:space="preserve"> des voies</w:t>
      </w:r>
      <w:r>
        <w:rPr>
          <w:sz w:val="24"/>
        </w:rPr>
        <w:t>, ...</w:t>
      </w:r>
      <w:r w:rsidRPr="00650501">
        <w:rPr>
          <w:sz w:val="24"/>
        </w:rPr>
        <w:t>)</w:t>
      </w:r>
      <w:r>
        <w:rPr>
          <w:sz w:val="24"/>
        </w:rPr>
        <w:t xml:space="preserve"> </w:t>
      </w:r>
      <w:r w:rsidR="00FC2EB5">
        <w:rPr>
          <w:sz w:val="24"/>
        </w:rPr>
        <w:t>que</w:t>
      </w:r>
      <w:r>
        <w:rPr>
          <w:sz w:val="24"/>
        </w:rPr>
        <w:t xml:space="preserve"> </w:t>
      </w:r>
      <w:r w:rsidRPr="00650501">
        <w:rPr>
          <w:sz w:val="24"/>
        </w:rPr>
        <w:t xml:space="preserve">les actions de développement </w:t>
      </w:r>
      <w:r>
        <w:rPr>
          <w:sz w:val="24"/>
        </w:rPr>
        <w:t xml:space="preserve"> économique de la voie d’eau (</w:t>
      </w:r>
      <w:r w:rsidRPr="00650501">
        <w:rPr>
          <w:sz w:val="24"/>
        </w:rPr>
        <w:t>tour</w:t>
      </w:r>
      <w:r>
        <w:rPr>
          <w:sz w:val="24"/>
        </w:rPr>
        <w:t>isme f</w:t>
      </w:r>
      <w:r w:rsidRPr="00650501">
        <w:rPr>
          <w:sz w:val="24"/>
        </w:rPr>
        <w:t>l</w:t>
      </w:r>
      <w:r>
        <w:rPr>
          <w:sz w:val="24"/>
        </w:rPr>
        <w:t>u</w:t>
      </w:r>
      <w:r w:rsidRPr="00650501">
        <w:rPr>
          <w:sz w:val="24"/>
        </w:rPr>
        <w:t>vial</w:t>
      </w:r>
      <w:r>
        <w:rPr>
          <w:sz w:val="24"/>
        </w:rPr>
        <w:t>…)</w:t>
      </w:r>
      <w:r w:rsidR="002077F7">
        <w:rPr>
          <w:sz w:val="24"/>
        </w:rPr>
        <w:t>. Seules l</w:t>
      </w:r>
      <w:r w:rsidRPr="00650501">
        <w:rPr>
          <w:sz w:val="24"/>
        </w:rPr>
        <w:t xml:space="preserve">es voies navigables </w:t>
      </w:r>
      <w:r w:rsidR="002077F7">
        <w:rPr>
          <w:sz w:val="24"/>
        </w:rPr>
        <w:t xml:space="preserve">commerciales </w:t>
      </w:r>
      <w:r w:rsidRPr="00650501">
        <w:rPr>
          <w:sz w:val="24"/>
        </w:rPr>
        <w:t>d</w:t>
      </w:r>
      <w:r w:rsidR="00FC2EB5">
        <w:rPr>
          <w:sz w:val="24"/>
        </w:rPr>
        <w:t>u bassin</w:t>
      </w:r>
      <w:r w:rsidR="00852BF8">
        <w:rPr>
          <w:sz w:val="24"/>
        </w:rPr>
        <w:t xml:space="preserve"> RM</w:t>
      </w:r>
      <w:r w:rsidRPr="00650501">
        <w:rPr>
          <w:sz w:val="24"/>
        </w:rPr>
        <w:t xml:space="preserve"> sont considérées</w:t>
      </w:r>
      <w:r w:rsidR="00852BF8">
        <w:rPr>
          <w:sz w:val="24"/>
        </w:rPr>
        <w:t xml:space="preserve"> (</w:t>
      </w:r>
      <w:r w:rsidR="002077F7">
        <w:rPr>
          <w:sz w:val="24"/>
        </w:rPr>
        <w:t>les voies fluviales utilisées pour les activités touristiques uniquement sont exclues du périmètre</w:t>
      </w:r>
      <w:r w:rsidR="00852BF8">
        <w:rPr>
          <w:sz w:val="24"/>
        </w:rPr>
        <w:t>)</w:t>
      </w:r>
      <w:r w:rsidRPr="00650501">
        <w:rPr>
          <w:sz w:val="24"/>
        </w:rPr>
        <w:t>.</w:t>
      </w:r>
    </w:p>
    <w:p w:rsidR="00CA23B7" w:rsidRDefault="00650501" w:rsidP="00CA23B7">
      <w:pPr>
        <w:rPr>
          <w:b/>
          <w:sz w:val="24"/>
        </w:rPr>
      </w:pPr>
      <w:r w:rsidRPr="008C27B9">
        <w:rPr>
          <w:b/>
          <w:sz w:val="24"/>
          <w:u w:val="single"/>
        </w:rPr>
        <w:t>Chiffres clés</w:t>
      </w:r>
      <w:r>
        <w:rPr>
          <w:b/>
          <w:sz w:val="24"/>
          <w:u w:val="single"/>
        </w:rPr>
        <w:t> </w:t>
      </w:r>
    </w:p>
    <w:p w:rsidR="00CA23B7" w:rsidRDefault="0046533B" w:rsidP="00EB31A6">
      <w:pPr>
        <w:pStyle w:val="ListParagraph"/>
        <w:numPr>
          <w:ilvl w:val="0"/>
          <w:numId w:val="1"/>
        </w:numPr>
        <w:tabs>
          <w:tab w:val="left" w:pos="142"/>
        </w:tabs>
        <w:ind w:left="284"/>
      </w:pPr>
      <w:r>
        <w:rPr>
          <w:b/>
          <w:sz w:val="24"/>
        </w:rPr>
        <w:t>800</w:t>
      </w:r>
      <w:r w:rsidR="00CA23B7" w:rsidRPr="00CA23B7">
        <w:rPr>
          <w:b/>
        </w:rPr>
        <w:t xml:space="preserve"> km</w:t>
      </w:r>
      <w:r w:rsidR="00CA23B7">
        <w:t xml:space="preserve"> </w:t>
      </w:r>
      <w:r w:rsidR="00CA23B7" w:rsidRPr="00967A80">
        <w:t xml:space="preserve">de voies navigables </w:t>
      </w:r>
      <w:r w:rsidR="00CA23B7">
        <w:t>dans le bassin</w:t>
      </w:r>
      <w:r w:rsidR="00CA23B7" w:rsidRPr="00967A80">
        <w:t xml:space="preserve"> RM</w:t>
      </w:r>
      <w:r w:rsidR="00CA23B7">
        <w:t xml:space="preserve">  dont 330 km gérées par CNR et 470 km </w:t>
      </w:r>
      <w:r w:rsidR="00702BF8">
        <w:t xml:space="preserve">gérées </w:t>
      </w:r>
      <w:r w:rsidR="00CA23B7">
        <w:t xml:space="preserve">par </w:t>
      </w:r>
      <w:r w:rsidR="00702BF8">
        <w:t xml:space="preserve">la </w:t>
      </w:r>
      <w:r w:rsidR="00CA23B7">
        <w:t xml:space="preserve">VNF </w:t>
      </w:r>
      <w:r w:rsidR="002077F7">
        <w:t>([2] et [3])</w:t>
      </w:r>
    </w:p>
    <w:p w:rsidR="00CA23B7" w:rsidRDefault="00CA23B7" w:rsidP="00CA23B7">
      <w:pPr>
        <w:rPr>
          <w:b/>
          <w:sz w:val="24"/>
          <w:u w:val="single"/>
        </w:rPr>
      </w:pPr>
      <w:r w:rsidRPr="00CA23B7">
        <w:rPr>
          <w:b/>
          <w:sz w:val="24"/>
          <w:u w:val="single"/>
        </w:rPr>
        <w:t xml:space="preserve">Résultats </w:t>
      </w:r>
    </w:p>
    <w:p w:rsidR="004E41AD" w:rsidRPr="00CA23B7" w:rsidRDefault="004042FE" w:rsidP="004E41AD">
      <w:pPr>
        <w:jc w:val="center"/>
        <w:rPr>
          <w:b/>
          <w:sz w:val="24"/>
          <w:u w:val="single"/>
        </w:rPr>
      </w:pPr>
      <w:r w:rsidRPr="004042FE">
        <w:drawing>
          <wp:inline distT="0" distB="0" distL="0" distR="0">
            <wp:extent cx="5185410" cy="244221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85410" cy="2442210"/>
                    </a:xfrm>
                    <a:prstGeom prst="rect">
                      <a:avLst/>
                    </a:prstGeom>
                    <a:noFill/>
                    <a:ln w="9525">
                      <a:noFill/>
                      <a:miter lim="800000"/>
                      <a:headEnd/>
                      <a:tailEnd/>
                    </a:ln>
                  </pic:spPr>
                </pic:pic>
              </a:graphicData>
            </a:graphic>
          </wp:inline>
        </w:drawing>
      </w:r>
    </w:p>
    <w:p w:rsidR="004B5D16" w:rsidRPr="00137681" w:rsidRDefault="004B5D16" w:rsidP="004B5D16">
      <w:pPr>
        <w:ind w:left="-284"/>
        <w:jc w:val="center"/>
        <w:rPr>
          <w:b/>
          <w:i/>
          <w:sz w:val="20"/>
        </w:rPr>
      </w:pPr>
      <w:r w:rsidRPr="00137681">
        <w:rPr>
          <w:b/>
          <w:i/>
          <w:sz w:val="20"/>
        </w:rPr>
        <w:t>Tableau 1 : Estimation des coûts et flux financiers</w:t>
      </w:r>
      <w:r w:rsidR="004042FE">
        <w:rPr>
          <w:b/>
          <w:i/>
          <w:sz w:val="20"/>
        </w:rPr>
        <w:t xml:space="preserve"> annuels </w:t>
      </w:r>
      <w:r w:rsidRPr="00137681">
        <w:rPr>
          <w:b/>
          <w:i/>
          <w:sz w:val="20"/>
        </w:rPr>
        <w:t xml:space="preserve">relatifs </w:t>
      </w:r>
      <w:r>
        <w:rPr>
          <w:b/>
          <w:i/>
          <w:sz w:val="20"/>
        </w:rPr>
        <w:t>à la navigation</w:t>
      </w:r>
      <w:r w:rsidRPr="00137681">
        <w:rPr>
          <w:b/>
          <w:i/>
          <w:sz w:val="20"/>
        </w:rPr>
        <w:t xml:space="preserve"> sur le bassin RMC en M</w:t>
      </w:r>
      <w:r w:rsidRPr="00137681">
        <w:rPr>
          <w:rFonts w:ascii="Arial" w:hAnsi="Arial" w:cs="Arial"/>
          <w:b/>
          <w:i/>
          <w:sz w:val="20"/>
        </w:rPr>
        <w:t>€</w:t>
      </w:r>
    </w:p>
    <w:p w:rsidR="006D7940" w:rsidRDefault="006D7940" w:rsidP="006D7940">
      <w:pPr>
        <w:jc w:val="both"/>
        <w:outlineLvl w:val="0"/>
        <w:rPr>
          <w:b/>
          <w:sz w:val="24"/>
          <w:u w:val="single"/>
        </w:rPr>
      </w:pPr>
    </w:p>
    <w:p w:rsidR="006D7940" w:rsidRPr="006D7940" w:rsidRDefault="006D7940" w:rsidP="006D7940">
      <w:pPr>
        <w:jc w:val="both"/>
        <w:outlineLvl w:val="0"/>
        <w:rPr>
          <w:b/>
          <w:sz w:val="24"/>
          <w:u w:val="single"/>
        </w:rPr>
      </w:pPr>
      <w:r w:rsidRPr="006D7940">
        <w:rPr>
          <w:b/>
          <w:sz w:val="24"/>
          <w:u w:val="single"/>
        </w:rPr>
        <w:t>Méthodologie de calcul et principales hypothèses</w:t>
      </w:r>
    </w:p>
    <w:p w:rsidR="00844A60" w:rsidRDefault="00844A60" w:rsidP="00CC6EC9">
      <w:pPr>
        <w:pStyle w:val="ListParagraph"/>
        <w:numPr>
          <w:ilvl w:val="0"/>
          <w:numId w:val="3"/>
        </w:numPr>
        <w:ind w:left="0" w:hanging="426"/>
        <w:rPr>
          <w:sz w:val="24"/>
        </w:rPr>
      </w:pPr>
      <w:r>
        <w:rPr>
          <w:sz w:val="24"/>
        </w:rPr>
        <w:t>Identification des acteurs concernés par l’usage de la navigation sur RMC : VNF et CNR</w:t>
      </w:r>
    </w:p>
    <w:p w:rsidR="00844A60" w:rsidRPr="00844A60" w:rsidRDefault="00844A60" w:rsidP="00CC6EC9">
      <w:pPr>
        <w:spacing w:after="0"/>
        <w:ind w:hanging="426"/>
        <w:jc w:val="both"/>
        <w:rPr>
          <w:i/>
        </w:rPr>
      </w:pPr>
      <w:r w:rsidRPr="00844A60">
        <w:rPr>
          <w:b/>
          <w:i/>
        </w:rPr>
        <w:t>VNF </w:t>
      </w:r>
      <w:r w:rsidRPr="00844A60">
        <w:rPr>
          <w:i/>
        </w:rPr>
        <w:t xml:space="preserve">: Établissement public du </w:t>
      </w:r>
      <w:r w:rsidR="006D7940">
        <w:rPr>
          <w:i/>
        </w:rPr>
        <w:t>M</w:t>
      </w:r>
      <w:r w:rsidRPr="00844A60">
        <w:rPr>
          <w:i/>
        </w:rPr>
        <w:t>inistère de l’Écologie, du Développement durable et de l’Énergie, Voies navigables de France gère le plus grand réseau européen de voies navigables, constitué de 6700 km de canaux et rivières aménagés</w:t>
      </w:r>
      <w:r w:rsidR="00F23C7F">
        <w:rPr>
          <w:i/>
        </w:rPr>
        <w:t xml:space="preserve"> </w:t>
      </w:r>
      <w:r w:rsidR="00F23C7F">
        <w:t>[2]</w:t>
      </w:r>
      <w:r w:rsidRPr="00844A60">
        <w:rPr>
          <w:i/>
        </w:rPr>
        <w:t>.</w:t>
      </w:r>
    </w:p>
    <w:p w:rsidR="00844A60" w:rsidRPr="00844A60" w:rsidRDefault="00844A60" w:rsidP="00CC6EC9">
      <w:pPr>
        <w:spacing w:after="0"/>
        <w:ind w:hanging="426"/>
        <w:jc w:val="both"/>
        <w:rPr>
          <w:i/>
        </w:rPr>
      </w:pPr>
      <w:r w:rsidRPr="00844A60">
        <w:rPr>
          <w:b/>
          <w:i/>
        </w:rPr>
        <w:t>CNR </w:t>
      </w:r>
      <w:r w:rsidRPr="00844A60">
        <w:rPr>
          <w:i/>
        </w:rPr>
        <w:t xml:space="preserve">: Société anonyme d’intérêt général, la </w:t>
      </w:r>
      <w:r w:rsidR="00444B63">
        <w:rPr>
          <w:i/>
        </w:rPr>
        <w:t>C</w:t>
      </w:r>
      <w:r w:rsidRPr="00844A60">
        <w:rPr>
          <w:i/>
        </w:rPr>
        <w:t>ompagnie Nationale du Rhône a reçu la concession du Rhône pour l’aménager et l’exploiter selon 3 missions : production d’hydroélectricité, amélioration de la navigation et irrigation et autres usages agricoles. 1</w:t>
      </w:r>
      <w:r w:rsidRPr="00844A60">
        <w:rPr>
          <w:i/>
          <w:vertAlign w:val="superscript"/>
        </w:rPr>
        <w:t>er</w:t>
      </w:r>
      <w:r w:rsidRPr="00844A60">
        <w:rPr>
          <w:i/>
        </w:rPr>
        <w:t xml:space="preserve"> producteur national d’énergie 100% renouvelable, </w:t>
      </w:r>
      <w:r w:rsidR="00444B63">
        <w:rPr>
          <w:i/>
        </w:rPr>
        <w:t xml:space="preserve">la </w:t>
      </w:r>
      <w:r w:rsidRPr="00844A60">
        <w:rPr>
          <w:i/>
        </w:rPr>
        <w:t>CNR compte 19 centrales hydroélectriques et 330 km de voies navigables</w:t>
      </w:r>
      <w:r w:rsidR="00F23C7F">
        <w:rPr>
          <w:i/>
        </w:rPr>
        <w:t xml:space="preserve"> </w:t>
      </w:r>
      <w:r w:rsidR="00F23C7F">
        <w:t>[3]</w:t>
      </w:r>
      <w:r w:rsidRPr="00844A60">
        <w:rPr>
          <w:i/>
        </w:rPr>
        <w:t>.</w:t>
      </w:r>
    </w:p>
    <w:p w:rsidR="00CA23B7" w:rsidRPr="00EB31A6" w:rsidRDefault="00EE5236" w:rsidP="00CC6EC9">
      <w:pPr>
        <w:pStyle w:val="ListParagraph"/>
        <w:numPr>
          <w:ilvl w:val="0"/>
          <w:numId w:val="3"/>
        </w:numPr>
        <w:ind w:left="0" w:hanging="426"/>
        <w:rPr>
          <w:sz w:val="24"/>
        </w:rPr>
      </w:pPr>
      <w:r w:rsidRPr="00EE5236">
        <w:rPr>
          <w:noProof/>
          <w:lang w:eastAsia="fr-FR"/>
        </w:rPr>
        <w:pict>
          <v:shapetype id="_x0000_t202" coordsize="21600,21600" o:spt="202" path="m,l,21600r21600,l21600,xe">
            <v:stroke joinstyle="miter"/>
            <v:path gradientshapeok="t" o:connecttype="rect"/>
          </v:shapetype>
          <v:shape id="_x0000_s1029" type="#_x0000_t202" style="position:absolute;left:0;text-align:left;margin-left:-24.75pt;margin-top:506.9pt;width:487.2pt;height:144.9pt;z-index:251660288" filled="f" fillcolor="#7f7f7f [1612]" strokecolor="#7f7f7f [1612]" strokeweight="2.25pt">
            <v:textbox>
              <w:txbxContent>
                <w:p w:rsidR="00CF5F8A" w:rsidRDefault="00CF5F8A" w:rsidP="00CF5F8A"/>
              </w:txbxContent>
            </v:textbox>
          </v:shape>
        </w:pict>
      </w:r>
      <w:r w:rsidR="00CA23B7" w:rsidRPr="00EB31A6">
        <w:rPr>
          <w:sz w:val="24"/>
        </w:rPr>
        <w:t>Estimation des km de voies navigables en RMC</w:t>
      </w:r>
      <w:r w:rsidR="00CA23B7" w:rsidRPr="00CA23B7">
        <w:rPr>
          <w:b/>
          <w:sz w:val="24"/>
        </w:rPr>
        <w:t> </w:t>
      </w:r>
      <w:r w:rsidR="00CF6D7D" w:rsidRPr="00CA23B7">
        <w:rPr>
          <w:b/>
          <w:sz w:val="24"/>
        </w:rPr>
        <w:t xml:space="preserve">: </w:t>
      </w:r>
      <w:r w:rsidR="004042FE">
        <w:rPr>
          <w:b/>
          <w:sz w:val="24"/>
        </w:rPr>
        <w:t>800</w:t>
      </w:r>
      <w:r w:rsidR="00CF6D7D" w:rsidRPr="00CF6D7D">
        <w:rPr>
          <w:b/>
          <w:sz w:val="24"/>
        </w:rPr>
        <w:t xml:space="preserve"> km</w:t>
      </w:r>
      <w:r w:rsidR="00EB31A6">
        <w:rPr>
          <w:b/>
          <w:sz w:val="24"/>
        </w:rPr>
        <w:t xml:space="preserve"> </w:t>
      </w:r>
      <w:r w:rsidR="004042FE">
        <w:rPr>
          <w:sz w:val="24"/>
        </w:rPr>
        <w:t>(550 km de Rhône et 250</w:t>
      </w:r>
      <w:r w:rsidR="00EB31A6" w:rsidRPr="00EB31A6">
        <w:rPr>
          <w:sz w:val="24"/>
        </w:rPr>
        <w:t xml:space="preserve"> km de Saône)</w:t>
      </w:r>
    </w:p>
    <w:p w:rsidR="004E41AD" w:rsidRDefault="00F17286" w:rsidP="00663C45">
      <w:pPr>
        <w:pStyle w:val="ListParagraph"/>
        <w:numPr>
          <w:ilvl w:val="0"/>
          <w:numId w:val="3"/>
        </w:numPr>
        <w:spacing w:after="0"/>
        <w:ind w:left="-76"/>
      </w:pPr>
      <w:r>
        <w:lastRenderedPageBreak/>
        <w:t>Les</w:t>
      </w:r>
      <w:r w:rsidR="00444B63">
        <w:t xml:space="preserve"> résultats présentés dans le tableau 1 sont issus des </w:t>
      </w:r>
      <w:r w:rsidR="004E41AD">
        <w:t>états financiers</w:t>
      </w:r>
      <w:r w:rsidR="00444B63" w:rsidRPr="00F17286">
        <w:t xml:space="preserve"> de VNF</w:t>
      </w:r>
      <w:r w:rsidR="00F23C7F" w:rsidRPr="00F17286">
        <w:t xml:space="preserve"> [1]</w:t>
      </w:r>
      <w:r w:rsidR="00A41AF4">
        <w:t xml:space="preserve"> et correspondent à la moyenne des données de 2008 à 2011. Une extrapolation a ensuite été réalisée pour les 470 km d</w:t>
      </w:r>
      <w:r w:rsidR="0079210E">
        <w:t>e voies navigables du bassin RM</w:t>
      </w:r>
      <w:r w:rsidR="00A41AF4">
        <w:t xml:space="preserve">. </w:t>
      </w:r>
    </w:p>
    <w:p w:rsidR="00A54B6B" w:rsidRDefault="00A41AF4" w:rsidP="00A41AF4">
      <w:pPr>
        <w:spacing w:after="0"/>
        <w:ind w:left="-76"/>
      </w:pPr>
      <w:r>
        <w:t>A défaut d’</w:t>
      </w:r>
      <w:r w:rsidR="00F23C7F">
        <w:t>informations fin</w:t>
      </w:r>
      <w:r w:rsidR="00BD38C1">
        <w:t xml:space="preserve">ancières </w:t>
      </w:r>
      <w:r>
        <w:t xml:space="preserve">concernant la </w:t>
      </w:r>
      <w:r w:rsidR="00BD38C1">
        <w:t>CNR</w:t>
      </w:r>
      <w:r w:rsidR="002E049C">
        <w:t xml:space="preserve">, nous considérons </w:t>
      </w:r>
      <w:r w:rsidR="00BD38C1">
        <w:t xml:space="preserve">que les activités de navigation de ces deux acteurs </w:t>
      </w:r>
      <w:r w:rsidR="004E41AD">
        <w:t xml:space="preserve">(VNF et CNR) </w:t>
      </w:r>
      <w:r w:rsidR="00BD38C1">
        <w:t xml:space="preserve">sont similaires. Les coûts et </w:t>
      </w:r>
      <w:r w:rsidR="00F17286">
        <w:t>transferts</w:t>
      </w:r>
      <w:r w:rsidR="00BD38C1">
        <w:t xml:space="preserve"> financiers de la CNR </w:t>
      </w:r>
      <w:r>
        <w:t>ont ainsi</w:t>
      </w:r>
      <w:r w:rsidR="00BD38C1">
        <w:t xml:space="preserve"> </w:t>
      </w:r>
      <w:r w:rsidR="002E049C">
        <w:t xml:space="preserve">été </w:t>
      </w:r>
      <w:r w:rsidR="00BD38C1">
        <w:t>estimés à parti</w:t>
      </w:r>
      <w:r>
        <w:t xml:space="preserve">r des données financières de </w:t>
      </w:r>
      <w:r w:rsidR="00F23C7F">
        <w:t xml:space="preserve">VNF. </w:t>
      </w:r>
    </w:p>
    <w:p w:rsidR="00A41AF4" w:rsidRDefault="00A41AF4" w:rsidP="00A41AF4">
      <w:pPr>
        <w:spacing w:after="0"/>
        <w:ind w:left="-76"/>
      </w:pPr>
    </w:p>
    <w:p w:rsidR="006D7940" w:rsidRDefault="002D5C7F" w:rsidP="006D7940">
      <w:pPr>
        <w:pStyle w:val="ListParagraph"/>
        <w:numPr>
          <w:ilvl w:val="0"/>
          <w:numId w:val="4"/>
        </w:numPr>
        <w:spacing w:after="0"/>
      </w:pPr>
      <w:r w:rsidRPr="006D7940">
        <w:rPr>
          <w:sz w:val="24"/>
        </w:rPr>
        <w:t>Les charges d’exploitation et l’amortissement sont issus des comptes de résultats de VNF</w:t>
      </w:r>
      <w:r>
        <w:t>.</w:t>
      </w:r>
    </w:p>
    <w:p w:rsidR="006D7940" w:rsidRDefault="006D7940" w:rsidP="006D7940">
      <w:pPr>
        <w:spacing w:after="0"/>
      </w:pPr>
    </w:p>
    <w:p w:rsidR="006D7940" w:rsidRDefault="006D7940" w:rsidP="006D7940">
      <w:pPr>
        <w:pStyle w:val="ListParagraph"/>
        <w:numPr>
          <w:ilvl w:val="0"/>
          <w:numId w:val="4"/>
        </w:numPr>
        <w:spacing w:after="0"/>
      </w:pPr>
      <w:r>
        <w:t>Estimation des transferts reçus :</w:t>
      </w:r>
    </w:p>
    <w:p w:rsidR="006D7940" w:rsidRDefault="006D7940" w:rsidP="006D7940">
      <w:pPr>
        <w:pStyle w:val="ListParagraph"/>
      </w:pPr>
    </w:p>
    <w:p w:rsidR="006D7940" w:rsidRDefault="006D7940" w:rsidP="006D7940">
      <w:pPr>
        <w:pStyle w:val="ListParagraph"/>
        <w:numPr>
          <w:ilvl w:val="1"/>
          <w:numId w:val="4"/>
        </w:numPr>
        <w:spacing w:after="0"/>
      </w:pPr>
      <w:r>
        <w:t xml:space="preserve">VNF : les transferts reçus </w:t>
      </w:r>
      <w:r w:rsidR="00F17286" w:rsidRPr="00F17286">
        <w:t xml:space="preserve">correspondent à la somme des </w:t>
      </w:r>
      <w:r w:rsidR="002E049C">
        <w:t>moyennes entre 2008 et 201</w:t>
      </w:r>
      <w:r w:rsidR="00A54B6B">
        <w:t>1</w:t>
      </w:r>
      <w:r w:rsidR="002E049C">
        <w:t xml:space="preserve"> des </w:t>
      </w:r>
      <w:r w:rsidR="00F17286" w:rsidRPr="00F17286">
        <w:t>subventions de fonctionnement et d’exploitation</w:t>
      </w:r>
      <w:r w:rsidR="002E049C">
        <w:t xml:space="preserve"> (hors taxe hydraulique) perçues par la VNF à laquelle</w:t>
      </w:r>
      <w:r w:rsidR="00F17286" w:rsidRPr="00F17286">
        <w:t xml:space="preserve"> s’ajoute la taxe hydraulique payée par les industriels.</w:t>
      </w:r>
      <w:r w:rsidR="00702BF8">
        <w:t xml:space="preserve"> Pour déterminer le montant de la taxe hydraulique, n</w:t>
      </w:r>
      <w:r w:rsidR="00F17286" w:rsidRPr="00F17286">
        <w:t xml:space="preserve">ous considérons que 55% du montant total des taxes versées par les industriels (majoritairement EDF) </w:t>
      </w:r>
      <w:r w:rsidR="002D5C7F">
        <w:t xml:space="preserve">est associé </w:t>
      </w:r>
      <w:r w:rsidR="00D4526E">
        <w:t>au bassin RM</w:t>
      </w:r>
      <w:r w:rsidR="00F17286" w:rsidRPr="00F17286">
        <w:t>.</w:t>
      </w:r>
      <w:r w:rsidR="00702BF8">
        <w:t xml:space="preserve"> Les montants </w:t>
      </w:r>
      <w:r>
        <w:t>versés</w:t>
      </w:r>
      <w:r w:rsidR="00702BF8">
        <w:t xml:space="preserve"> par les usagers domestiques sont au prorata de la population sur le bassin RMC.</w:t>
      </w:r>
    </w:p>
    <w:p w:rsidR="006D7940" w:rsidRDefault="006D7940" w:rsidP="006D7940">
      <w:pPr>
        <w:pStyle w:val="ListParagraph"/>
        <w:numPr>
          <w:ilvl w:val="1"/>
          <w:numId w:val="4"/>
        </w:numPr>
        <w:spacing w:after="0"/>
      </w:pPr>
      <w:r>
        <w:t xml:space="preserve">CNR : </w:t>
      </w:r>
      <w:r w:rsidR="005E671B">
        <w:t>Nous considérons que la CNR finance à 100 % les dépenses liées à la navigation (transfert entre le budget général de la CNR vers le budget spécifique navigation)</w:t>
      </w:r>
    </w:p>
    <w:p w:rsidR="006D7940" w:rsidRPr="006D7940" w:rsidRDefault="006D7940" w:rsidP="006D7940">
      <w:pPr>
        <w:pStyle w:val="ListParagraph"/>
        <w:rPr>
          <w:sz w:val="24"/>
        </w:rPr>
      </w:pPr>
    </w:p>
    <w:p w:rsidR="002A5070" w:rsidRPr="00F17286" w:rsidRDefault="002A5070" w:rsidP="006D7940">
      <w:pPr>
        <w:pStyle w:val="ListParagraph"/>
        <w:numPr>
          <w:ilvl w:val="0"/>
          <w:numId w:val="4"/>
        </w:numPr>
        <w:spacing w:after="0"/>
      </w:pPr>
      <w:r w:rsidRPr="006D7940">
        <w:rPr>
          <w:sz w:val="24"/>
        </w:rPr>
        <w:t>Les transferts payés sont supposés nuls.</w:t>
      </w:r>
    </w:p>
    <w:p w:rsidR="00EB31A6" w:rsidRDefault="00EB31A6" w:rsidP="00587C57">
      <w:pPr>
        <w:spacing w:after="0"/>
        <w:jc w:val="center"/>
        <w:rPr>
          <w:i/>
        </w:rPr>
      </w:pPr>
    </w:p>
    <w:p w:rsidR="009D459F" w:rsidRPr="00E73424" w:rsidRDefault="009D459F" w:rsidP="009D459F">
      <w:pPr>
        <w:rPr>
          <w:b/>
          <w:u w:val="single"/>
        </w:rPr>
      </w:pPr>
      <w:r w:rsidRPr="00E73424">
        <w:rPr>
          <w:b/>
          <w:u w:val="single"/>
        </w:rPr>
        <w:t>Sources</w:t>
      </w:r>
    </w:p>
    <w:p w:rsidR="009D459F" w:rsidRDefault="00DD73E6" w:rsidP="009D459F">
      <w:r>
        <w:t xml:space="preserve"> [1] </w:t>
      </w:r>
      <w:r w:rsidR="009D459F">
        <w:t>Rapport</w:t>
      </w:r>
      <w:r w:rsidR="002D5C7F">
        <w:t>s</w:t>
      </w:r>
      <w:r w:rsidR="009D459F">
        <w:t xml:space="preserve"> financier</w:t>
      </w:r>
      <w:r w:rsidR="002D5C7F">
        <w:t>s VNF 2008 - 2011</w:t>
      </w:r>
      <w:r w:rsidR="009D459F">
        <w:t xml:space="preserve">: </w:t>
      </w:r>
      <w:hyperlink r:id="rId9" w:history="1">
        <w:r w:rsidR="002D5C7F" w:rsidRPr="007F5CA0">
          <w:rPr>
            <w:rStyle w:val="Hyperlink"/>
          </w:rPr>
          <w:t>http://www.vnf.fr/vnf/content.vnf?action=content&amp;occ_id=29913</w:t>
        </w:r>
      </w:hyperlink>
    </w:p>
    <w:p w:rsidR="00DD73E6" w:rsidRDefault="00DD73E6" w:rsidP="009D459F">
      <w:r>
        <w:t>[2]</w:t>
      </w:r>
      <w:r w:rsidR="009D459F">
        <w:t xml:space="preserve"> </w:t>
      </w:r>
      <w:hyperlink r:id="rId10" w:history="1">
        <w:r w:rsidR="009D459F" w:rsidRPr="00285AEC">
          <w:rPr>
            <w:rStyle w:val="Hyperlink"/>
          </w:rPr>
          <w:t>http://www.vnf.fr/vnf/home.vnf?action=vnf</w:t>
        </w:r>
      </w:hyperlink>
      <w:r w:rsidR="009D459F">
        <w:t xml:space="preserve">; </w:t>
      </w:r>
    </w:p>
    <w:p w:rsidR="009D459F" w:rsidRDefault="00DD73E6" w:rsidP="009D459F">
      <w:r>
        <w:t xml:space="preserve">[3] </w:t>
      </w:r>
      <w:hyperlink r:id="rId11" w:history="1">
        <w:r w:rsidR="009D459F" w:rsidRPr="00285AEC">
          <w:rPr>
            <w:rStyle w:val="Hyperlink"/>
          </w:rPr>
          <w:t>http://www.cnr.tm.fr/fr/</w:t>
        </w:r>
      </w:hyperlink>
    </w:p>
    <w:p w:rsidR="009D459F" w:rsidRDefault="009D459F" w:rsidP="009D459F"/>
    <w:p w:rsidR="009D459F" w:rsidRDefault="009D459F" w:rsidP="00844A60"/>
    <w:p w:rsidR="00C827B0" w:rsidRPr="000F2BC6" w:rsidRDefault="00C827B0" w:rsidP="00C827B0">
      <w:pPr>
        <w:rPr>
          <w:shd w:val="clear" w:color="auto" w:fill="000000"/>
        </w:rPr>
      </w:pPr>
    </w:p>
    <w:sectPr w:rsidR="00C827B0" w:rsidRPr="000F2BC6" w:rsidSect="00EB31A6">
      <w:pgSz w:w="11906" w:h="16838"/>
      <w:pgMar w:top="957" w:right="1417" w:bottom="1417" w:left="1417" w:header="708" w:footer="5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693" w:rsidRDefault="00A25693" w:rsidP="002A1637">
      <w:pPr>
        <w:spacing w:after="0" w:line="240" w:lineRule="auto"/>
      </w:pPr>
      <w:r>
        <w:separator/>
      </w:r>
    </w:p>
  </w:endnote>
  <w:endnote w:type="continuationSeparator" w:id="0">
    <w:p w:rsidR="00A25693" w:rsidRDefault="00A25693" w:rsidP="002A16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693" w:rsidRDefault="00A25693" w:rsidP="002A1637">
      <w:pPr>
        <w:spacing w:after="0" w:line="240" w:lineRule="auto"/>
      </w:pPr>
      <w:r>
        <w:separator/>
      </w:r>
    </w:p>
  </w:footnote>
  <w:footnote w:type="continuationSeparator" w:id="0">
    <w:p w:rsidR="00A25693" w:rsidRDefault="00A25693" w:rsidP="002A16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4210F"/>
    <w:multiLevelType w:val="hybridMultilevel"/>
    <w:tmpl w:val="F1BC6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46707CB"/>
    <w:multiLevelType w:val="hybridMultilevel"/>
    <w:tmpl w:val="A67E9D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FFD7254"/>
    <w:multiLevelType w:val="hybridMultilevel"/>
    <w:tmpl w:val="4CC0B2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5A763351"/>
    <w:multiLevelType w:val="hybridMultilevel"/>
    <w:tmpl w:val="EB244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rsids>
    <w:rsidRoot w:val="00DC47D2"/>
    <w:rsid w:val="000261B4"/>
    <w:rsid w:val="00063D73"/>
    <w:rsid w:val="00087F5C"/>
    <w:rsid w:val="00141FBE"/>
    <w:rsid w:val="00182FCC"/>
    <w:rsid w:val="001B008E"/>
    <w:rsid w:val="002077F7"/>
    <w:rsid w:val="00211E44"/>
    <w:rsid w:val="0025274B"/>
    <w:rsid w:val="002614F5"/>
    <w:rsid w:val="002735AC"/>
    <w:rsid w:val="002A1637"/>
    <w:rsid w:val="002A187A"/>
    <w:rsid w:val="002A45F0"/>
    <w:rsid w:val="002A5070"/>
    <w:rsid w:val="002B63AD"/>
    <w:rsid w:val="002D5C7F"/>
    <w:rsid w:val="002E049C"/>
    <w:rsid w:val="002E17E6"/>
    <w:rsid w:val="002E4CBA"/>
    <w:rsid w:val="003113E1"/>
    <w:rsid w:val="00377013"/>
    <w:rsid w:val="00391B19"/>
    <w:rsid w:val="004042FE"/>
    <w:rsid w:val="00432A32"/>
    <w:rsid w:val="00437F5A"/>
    <w:rsid w:val="00444B63"/>
    <w:rsid w:val="00457451"/>
    <w:rsid w:val="0046533B"/>
    <w:rsid w:val="00471FDF"/>
    <w:rsid w:val="004855D6"/>
    <w:rsid w:val="004B5D16"/>
    <w:rsid w:val="004D4230"/>
    <w:rsid w:val="004E21AF"/>
    <w:rsid w:val="004E41AD"/>
    <w:rsid w:val="005171CF"/>
    <w:rsid w:val="0055707C"/>
    <w:rsid w:val="00585A9C"/>
    <w:rsid w:val="00587C57"/>
    <w:rsid w:val="005E2CE7"/>
    <w:rsid w:val="005E671B"/>
    <w:rsid w:val="00650501"/>
    <w:rsid w:val="00663C45"/>
    <w:rsid w:val="006A7330"/>
    <w:rsid w:val="006C46BB"/>
    <w:rsid w:val="006D7940"/>
    <w:rsid w:val="006E55AA"/>
    <w:rsid w:val="00702BF8"/>
    <w:rsid w:val="0079210E"/>
    <w:rsid w:val="007931CB"/>
    <w:rsid w:val="007C1C86"/>
    <w:rsid w:val="007D4FDB"/>
    <w:rsid w:val="00837B60"/>
    <w:rsid w:val="00844A60"/>
    <w:rsid w:val="00852BF8"/>
    <w:rsid w:val="008C27B9"/>
    <w:rsid w:val="008D080E"/>
    <w:rsid w:val="008E5893"/>
    <w:rsid w:val="009C4FA9"/>
    <w:rsid w:val="009D459F"/>
    <w:rsid w:val="00A25693"/>
    <w:rsid w:val="00A41AF4"/>
    <w:rsid w:val="00A54B6B"/>
    <w:rsid w:val="00B11EA4"/>
    <w:rsid w:val="00B635D8"/>
    <w:rsid w:val="00BA614B"/>
    <w:rsid w:val="00BD0B99"/>
    <w:rsid w:val="00BD38C1"/>
    <w:rsid w:val="00C64012"/>
    <w:rsid w:val="00C827B0"/>
    <w:rsid w:val="00CA23B7"/>
    <w:rsid w:val="00CA3D71"/>
    <w:rsid w:val="00CA71CD"/>
    <w:rsid w:val="00CB4DA2"/>
    <w:rsid w:val="00CC6EC9"/>
    <w:rsid w:val="00CF055F"/>
    <w:rsid w:val="00CF5F8A"/>
    <w:rsid w:val="00CF6D7D"/>
    <w:rsid w:val="00D4526E"/>
    <w:rsid w:val="00D5765A"/>
    <w:rsid w:val="00D670EB"/>
    <w:rsid w:val="00D73D95"/>
    <w:rsid w:val="00D96BCD"/>
    <w:rsid w:val="00DC47D2"/>
    <w:rsid w:val="00DD73E6"/>
    <w:rsid w:val="00E07CCC"/>
    <w:rsid w:val="00E129F2"/>
    <w:rsid w:val="00E54AEF"/>
    <w:rsid w:val="00E73424"/>
    <w:rsid w:val="00E95663"/>
    <w:rsid w:val="00E96962"/>
    <w:rsid w:val="00EB31A6"/>
    <w:rsid w:val="00EE3369"/>
    <w:rsid w:val="00EE5236"/>
    <w:rsid w:val="00EF788D"/>
    <w:rsid w:val="00F0393F"/>
    <w:rsid w:val="00F17286"/>
    <w:rsid w:val="00F23C7F"/>
    <w:rsid w:val="00F57F4A"/>
    <w:rsid w:val="00F75193"/>
    <w:rsid w:val="00F90605"/>
    <w:rsid w:val="00F934ED"/>
    <w:rsid w:val="00FB6FB0"/>
    <w:rsid w:val="00FC2EB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8">
      <o:colormenu v:ext="edit" fillcolor="none" stroke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C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A163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2A1637"/>
  </w:style>
  <w:style w:type="paragraph" w:styleId="Footer">
    <w:name w:val="footer"/>
    <w:basedOn w:val="Normal"/>
    <w:link w:val="FooterChar"/>
    <w:uiPriority w:val="99"/>
    <w:semiHidden/>
    <w:unhideWhenUsed/>
    <w:rsid w:val="002A163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2A1637"/>
  </w:style>
  <w:style w:type="table" w:styleId="TableGrid">
    <w:name w:val="Table Grid"/>
    <w:basedOn w:val="TableNormal"/>
    <w:uiPriority w:val="59"/>
    <w:rsid w:val="00CF5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5F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F8A"/>
    <w:rPr>
      <w:rFonts w:ascii="Tahoma" w:hAnsi="Tahoma" w:cs="Tahoma"/>
      <w:sz w:val="16"/>
      <w:szCs w:val="16"/>
    </w:rPr>
  </w:style>
  <w:style w:type="paragraph" w:styleId="ListParagraph">
    <w:name w:val="List Paragraph"/>
    <w:basedOn w:val="Normal"/>
    <w:uiPriority w:val="34"/>
    <w:qFormat/>
    <w:rsid w:val="00CA23B7"/>
    <w:pPr>
      <w:ind w:left="720"/>
      <w:contextualSpacing/>
    </w:pPr>
  </w:style>
  <w:style w:type="table" w:styleId="LightShading">
    <w:name w:val="Light Shading"/>
    <w:basedOn w:val="TableNormal"/>
    <w:uiPriority w:val="60"/>
    <w:rsid w:val="002A45F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yperlink">
    <w:name w:val="Hyperlink"/>
    <w:basedOn w:val="DefaultParagraphFont"/>
    <w:uiPriority w:val="99"/>
    <w:unhideWhenUsed/>
    <w:rsid w:val="0025274B"/>
    <w:rPr>
      <w:color w:val="0000FF" w:themeColor="hyperlink"/>
      <w:u w:val="single"/>
    </w:rPr>
  </w:style>
  <w:style w:type="character" w:styleId="CommentReference">
    <w:name w:val="annotation reference"/>
    <w:basedOn w:val="DefaultParagraphFont"/>
    <w:uiPriority w:val="99"/>
    <w:semiHidden/>
    <w:unhideWhenUsed/>
    <w:rsid w:val="00D96BCD"/>
    <w:rPr>
      <w:sz w:val="16"/>
      <w:szCs w:val="16"/>
    </w:rPr>
  </w:style>
  <w:style w:type="paragraph" w:styleId="CommentText">
    <w:name w:val="annotation text"/>
    <w:basedOn w:val="Normal"/>
    <w:link w:val="CommentTextChar"/>
    <w:uiPriority w:val="99"/>
    <w:semiHidden/>
    <w:unhideWhenUsed/>
    <w:rsid w:val="00D96BCD"/>
    <w:pPr>
      <w:spacing w:line="240" w:lineRule="auto"/>
    </w:pPr>
    <w:rPr>
      <w:sz w:val="20"/>
      <w:szCs w:val="20"/>
    </w:rPr>
  </w:style>
  <w:style w:type="character" w:customStyle="1" w:styleId="CommentTextChar">
    <w:name w:val="Comment Text Char"/>
    <w:basedOn w:val="DefaultParagraphFont"/>
    <w:link w:val="CommentText"/>
    <w:uiPriority w:val="99"/>
    <w:semiHidden/>
    <w:rsid w:val="00D96BCD"/>
    <w:rPr>
      <w:sz w:val="20"/>
      <w:szCs w:val="20"/>
    </w:rPr>
  </w:style>
  <w:style w:type="paragraph" w:styleId="CommentSubject">
    <w:name w:val="annotation subject"/>
    <w:basedOn w:val="CommentText"/>
    <w:next w:val="CommentText"/>
    <w:link w:val="CommentSubjectChar"/>
    <w:uiPriority w:val="99"/>
    <w:semiHidden/>
    <w:unhideWhenUsed/>
    <w:rsid w:val="00D96BCD"/>
    <w:rPr>
      <w:b/>
      <w:bCs/>
    </w:rPr>
  </w:style>
  <w:style w:type="character" w:customStyle="1" w:styleId="CommentSubjectChar">
    <w:name w:val="Comment Subject Char"/>
    <w:basedOn w:val="CommentTextChar"/>
    <w:link w:val="CommentSubject"/>
    <w:uiPriority w:val="99"/>
    <w:semiHidden/>
    <w:rsid w:val="00D96BCD"/>
    <w:rPr>
      <w:b/>
      <w:bCs/>
    </w:rPr>
  </w:style>
</w:styles>
</file>

<file path=word/webSettings.xml><?xml version="1.0" encoding="utf-8"?>
<w:webSettings xmlns:r="http://schemas.openxmlformats.org/officeDocument/2006/relationships" xmlns:w="http://schemas.openxmlformats.org/wordprocessingml/2006/main">
  <w:divs>
    <w:div w:id="18913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r.tm.fr/fr/" TargetMode="External"/><Relationship Id="rId5" Type="http://schemas.openxmlformats.org/officeDocument/2006/relationships/webSettings" Target="webSettings.xml"/><Relationship Id="rId10" Type="http://schemas.openxmlformats.org/officeDocument/2006/relationships/hyperlink" Target="http://www.vnf.fr/vnf/home.vnf?action=vnf" TargetMode="External"/><Relationship Id="rId4" Type="http://schemas.openxmlformats.org/officeDocument/2006/relationships/settings" Target="settings.xml"/><Relationship Id="rId9" Type="http://schemas.openxmlformats.org/officeDocument/2006/relationships/hyperlink" Target="http://www.vnf.fr/vnf/content.vnf?action=content&amp;occ_id=299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C479C-C2EA-4ACD-9AF0-813CCBBA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dc:creator>
  <cp:keywords/>
  <dc:description/>
  <cp:lastModifiedBy>Georges.Golla</cp:lastModifiedBy>
  <cp:revision>2</cp:revision>
  <dcterms:created xsi:type="dcterms:W3CDTF">2013-10-10T14:48:00Z</dcterms:created>
  <dcterms:modified xsi:type="dcterms:W3CDTF">2013-10-10T14:48:00Z</dcterms:modified>
</cp:coreProperties>
</file>